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45653" w14:textId="28DF846D" w:rsidR="00EF52EA" w:rsidRPr="00D4368F" w:rsidRDefault="00D4368F" w:rsidP="00D4368F">
      <w:pPr>
        <w:jc w:val="center"/>
        <w:rPr>
          <w:b/>
          <w:bCs/>
          <w:sz w:val="32"/>
          <w:szCs w:val="32"/>
        </w:rPr>
      </w:pPr>
      <w:r w:rsidRPr="00D4368F">
        <w:rPr>
          <w:b/>
          <w:bCs/>
          <w:sz w:val="32"/>
          <w:szCs w:val="32"/>
        </w:rPr>
        <w:t>APPENDIX 5</w:t>
      </w:r>
    </w:p>
    <w:p w14:paraId="5C602E03" w14:textId="77777777" w:rsidR="00D4368F" w:rsidRPr="00D4368F" w:rsidRDefault="00D4368F" w:rsidP="00D4368F">
      <w:pPr>
        <w:jc w:val="center"/>
        <w:rPr>
          <w:b/>
          <w:bCs/>
          <w:sz w:val="24"/>
          <w:szCs w:val="24"/>
        </w:rPr>
      </w:pPr>
    </w:p>
    <w:p w14:paraId="57B8B787" w14:textId="77777777" w:rsidR="00D4368F" w:rsidRDefault="00D4368F" w:rsidP="00D4368F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 w:rsidRPr="00D4368F">
        <w:rPr>
          <w:b/>
          <w:bCs/>
          <w:sz w:val="24"/>
          <w:szCs w:val="24"/>
        </w:rPr>
        <w:t xml:space="preserve">Deposits to Bank: </w:t>
      </w:r>
    </w:p>
    <w:p w14:paraId="2C630386" w14:textId="77777777" w:rsidR="00D4368F" w:rsidRPr="00D4368F" w:rsidRDefault="00D4368F" w:rsidP="00D4368F">
      <w:pPr>
        <w:pStyle w:val="ListParagraph"/>
        <w:rPr>
          <w:b/>
          <w:bCs/>
          <w:sz w:val="24"/>
          <w:szCs w:val="24"/>
        </w:rPr>
      </w:pPr>
    </w:p>
    <w:p w14:paraId="6465A96E" w14:textId="33636E3F" w:rsidR="00D4368F" w:rsidRDefault="00D4368F" w:rsidP="00D4368F">
      <w:pPr>
        <w:pStyle w:val="ListParagraph"/>
        <w:numPr>
          <w:ilvl w:val="0"/>
          <w:numId w:val="4"/>
        </w:numPr>
      </w:pPr>
      <w:r>
        <w:t>All transactions / payments received through Cards issued from Lebanese Banks should be settled in a similar currency to the one selected by the customer upon completion of the transaction.  Payments received in USD currency should be settled as 100% in Fresh USD.</w:t>
      </w:r>
    </w:p>
    <w:p w14:paraId="2B21D6AD" w14:textId="290872D3" w:rsidR="00D4368F" w:rsidRDefault="00D4368F" w:rsidP="00D4368F">
      <w:pPr>
        <w:pStyle w:val="ListParagraph"/>
        <w:numPr>
          <w:ilvl w:val="0"/>
          <w:numId w:val="4"/>
        </w:numPr>
      </w:pPr>
      <w:r>
        <w:t>All transactions / payments received through Cards issued from International Banks should be settled as 100% in Fresh USD upon completion of the transaction.</w:t>
      </w:r>
    </w:p>
    <w:p w14:paraId="45E67DB1" w14:textId="311525C9" w:rsidR="00D4368F" w:rsidRDefault="00D4368F" w:rsidP="00D4368F">
      <w:pPr>
        <w:pStyle w:val="ListParagraph"/>
        <w:numPr>
          <w:ilvl w:val="0"/>
          <w:numId w:val="4"/>
        </w:numPr>
      </w:pPr>
      <w:r>
        <w:t>Settlement Fees: The proposer should describe the process and fees associated with refunds and chargebacks.  These fees should be absorbed by the proposer.</w:t>
      </w:r>
    </w:p>
    <w:p w14:paraId="3A019F49" w14:textId="77777777" w:rsidR="00D4368F" w:rsidRDefault="00D4368F" w:rsidP="00D4368F"/>
    <w:p w14:paraId="59191774" w14:textId="4E99F73B" w:rsidR="00D4368F" w:rsidRPr="00D4368F" w:rsidRDefault="00D4368F" w:rsidP="00D4368F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 w:rsidRPr="00D4368F">
        <w:rPr>
          <w:b/>
          <w:bCs/>
          <w:sz w:val="24"/>
          <w:szCs w:val="24"/>
        </w:rPr>
        <w:t>Proposal details:</w:t>
      </w:r>
    </w:p>
    <w:p w14:paraId="714C6239" w14:textId="77777777" w:rsidR="00D4368F" w:rsidRDefault="00D4368F" w:rsidP="00D4368F"/>
    <w:p w14:paraId="06C872E8" w14:textId="77777777" w:rsidR="00D4368F" w:rsidRDefault="00D4368F" w:rsidP="00D4368F">
      <w:pPr>
        <w:pStyle w:val="ListParagraph"/>
        <w:numPr>
          <w:ilvl w:val="0"/>
          <w:numId w:val="3"/>
        </w:numPr>
      </w:pPr>
      <w:r>
        <w:t xml:space="preserve">Bidder(s) shall provide MIC1 with a complete quotation proposal including payment terms based on monthly payments reconciliation. </w:t>
      </w:r>
    </w:p>
    <w:p w14:paraId="15E5A821" w14:textId="0E39838C" w:rsidR="00D4368F" w:rsidRDefault="00D4368F" w:rsidP="00D4368F">
      <w:pPr>
        <w:pStyle w:val="ListParagraph"/>
        <w:numPr>
          <w:ilvl w:val="0"/>
          <w:numId w:val="3"/>
        </w:numPr>
      </w:pPr>
      <w:r>
        <w:t>Proposal must include breakdown of the below for 4 years, on yearly basis:</w:t>
      </w:r>
    </w:p>
    <w:p w14:paraId="3B2C5D91" w14:textId="77777777" w:rsidR="00D4368F" w:rsidRDefault="00D4368F" w:rsidP="00D4368F"/>
    <w:p w14:paraId="0956F161" w14:textId="7E555B72" w:rsidR="00D4368F" w:rsidRDefault="00D4368F" w:rsidP="00D4368F">
      <w:r>
        <w:rPr>
          <w:noProof/>
        </w:rPr>
        <w:drawing>
          <wp:inline distT="0" distB="0" distL="0" distR="0" wp14:anchorId="2BA21C27" wp14:editId="6CB7ECB5">
            <wp:extent cx="5943600" cy="1226185"/>
            <wp:effectExtent l="0" t="0" r="0" b="0"/>
            <wp:docPr id="3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5FAB99FB-6DCE-87C3-1F4A-3D454C16529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5FAB99FB-6DCE-87C3-1F4A-3D454C165293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26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D436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F49B3"/>
    <w:multiLevelType w:val="hybridMultilevel"/>
    <w:tmpl w:val="19183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736DD"/>
    <w:multiLevelType w:val="hybridMultilevel"/>
    <w:tmpl w:val="FA96FE3C"/>
    <w:lvl w:ilvl="0" w:tplc="2B68A35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E40D79"/>
    <w:multiLevelType w:val="hybridMultilevel"/>
    <w:tmpl w:val="0664A660"/>
    <w:lvl w:ilvl="0" w:tplc="2B68A35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341245"/>
    <w:multiLevelType w:val="hybridMultilevel"/>
    <w:tmpl w:val="A9F47682"/>
    <w:lvl w:ilvl="0" w:tplc="2B68A3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CA650F"/>
    <w:multiLevelType w:val="hybridMultilevel"/>
    <w:tmpl w:val="9FBEC0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7742112">
    <w:abstractNumId w:val="0"/>
  </w:num>
  <w:num w:numId="2" w16cid:durableId="1505247025">
    <w:abstractNumId w:val="4"/>
  </w:num>
  <w:num w:numId="3" w16cid:durableId="72901121">
    <w:abstractNumId w:val="1"/>
  </w:num>
  <w:num w:numId="4" w16cid:durableId="280260753">
    <w:abstractNumId w:val="2"/>
  </w:num>
  <w:num w:numId="5" w16cid:durableId="19293834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68F"/>
    <w:rsid w:val="00D4368F"/>
    <w:rsid w:val="00EF52EA"/>
    <w:rsid w:val="00F0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221046B5"/>
  <w15:chartTrackingRefBased/>
  <w15:docId w15:val="{5F4A1495-2BAF-49AA-9006-F2DFD5C64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36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55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NICOLAS EL HACHEM</dc:creator>
  <cp:keywords/>
  <dc:description/>
  <cp:lastModifiedBy>AMANDA NICOLAS EL HACHEM</cp:lastModifiedBy>
  <cp:revision>1</cp:revision>
  <dcterms:created xsi:type="dcterms:W3CDTF">2024-04-29T11:36:00Z</dcterms:created>
  <dcterms:modified xsi:type="dcterms:W3CDTF">2024-04-29T11:42:00Z</dcterms:modified>
</cp:coreProperties>
</file>